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1C9E">
        <w:rPr>
          <w:rFonts w:ascii="Arial" w:hAnsi="Arial" w:cs="Arial"/>
          <w:b/>
          <w:sz w:val="24"/>
          <w:szCs w:val="24"/>
        </w:rPr>
        <w:t>8</w:t>
      </w:r>
      <w:r w:rsidR="006E0940">
        <w:rPr>
          <w:rFonts w:ascii="Arial" w:hAnsi="Arial" w:cs="Arial"/>
          <w:b/>
          <w:sz w:val="24"/>
          <w:szCs w:val="24"/>
        </w:rPr>
        <w:t>9</w:t>
      </w:r>
      <w:r w:rsidR="00A774B4" w:rsidRPr="00A774B4">
        <w:rPr>
          <w:rFonts w:ascii="Arial" w:hAnsi="Arial" w:cs="Arial"/>
          <w:b/>
          <w:sz w:val="24"/>
          <w:szCs w:val="24"/>
        </w:rPr>
        <w:tab/>
        <w:t>R4-1</w:t>
      </w:r>
      <w:r w:rsidR="00B97157">
        <w:rPr>
          <w:rFonts w:ascii="Arial" w:hAnsi="Arial" w:cs="Arial"/>
          <w:b/>
          <w:sz w:val="24"/>
          <w:szCs w:val="24"/>
        </w:rPr>
        <w:t>8</w:t>
      </w:r>
      <w:r w:rsidR="00F8623A">
        <w:rPr>
          <w:rFonts w:ascii="Arial" w:hAnsi="Arial" w:cs="Arial"/>
          <w:b/>
          <w:sz w:val="24"/>
          <w:szCs w:val="24"/>
        </w:rPr>
        <w:t>14815</w:t>
      </w:r>
      <w:r w:rsidR="00A774B4" w:rsidRPr="00A774B4">
        <w:rPr>
          <w:rFonts w:ascii="Arial" w:hAnsi="Arial" w:cs="Arial"/>
          <w:b/>
          <w:sz w:val="24"/>
          <w:szCs w:val="24"/>
        </w:rPr>
        <w:br/>
      </w:r>
      <w:r w:rsidR="006E0940">
        <w:rPr>
          <w:rFonts w:ascii="Arial" w:hAnsi="Arial" w:cs="Arial"/>
          <w:b/>
          <w:sz w:val="24"/>
          <w:szCs w:val="24"/>
        </w:rPr>
        <w:t>Spokane</w:t>
      </w:r>
      <w:r w:rsidRPr="00020097">
        <w:rPr>
          <w:rFonts w:ascii="Arial" w:hAnsi="Arial" w:cs="Arial"/>
          <w:b/>
          <w:sz w:val="24"/>
          <w:szCs w:val="24"/>
        </w:rPr>
        <w:t>,</w:t>
      </w:r>
      <w:r w:rsidR="00BA1DAF">
        <w:rPr>
          <w:rFonts w:ascii="Arial" w:hAnsi="Arial" w:cs="Arial"/>
          <w:b/>
          <w:sz w:val="24"/>
          <w:szCs w:val="24"/>
        </w:rPr>
        <w:t xml:space="preserve"> </w:t>
      </w:r>
      <w:r w:rsidR="006E0940">
        <w:rPr>
          <w:rFonts w:ascii="Arial" w:hAnsi="Arial" w:cs="Arial"/>
          <w:b/>
          <w:sz w:val="24"/>
          <w:szCs w:val="24"/>
        </w:rPr>
        <w:t>USA</w:t>
      </w:r>
      <w:r w:rsidR="001B3749">
        <w:rPr>
          <w:rFonts w:ascii="Arial" w:hAnsi="Arial" w:cs="Arial"/>
          <w:b/>
          <w:sz w:val="24"/>
          <w:szCs w:val="24"/>
        </w:rPr>
        <w:t xml:space="preserve">, </w:t>
      </w:r>
      <w:r w:rsidR="006E0940">
        <w:rPr>
          <w:rFonts w:ascii="Arial" w:hAnsi="Arial" w:cs="Arial"/>
          <w:b/>
          <w:sz w:val="24"/>
          <w:szCs w:val="24"/>
        </w:rPr>
        <w:t>12</w:t>
      </w:r>
      <w:r w:rsidR="00C908C7">
        <w:rPr>
          <w:rFonts w:ascii="Arial" w:hAnsi="Arial" w:cs="Arial"/>
          <w:b/>
          <w:sz w:val="24"/>
          <w:szCs w:val="24"/>
        </w:rPr>
        <w:t xml:space="preserve"> </w:t>
      </w:r>
      <w:r w:rsidR="006E0940">
        <w:rPr>
          <w:rFonts w:ascii="Arial" w:hAnsi="Arial" w:cs="Arial"/>
          <w:b/>
          <w:sz w:val="24"/>
          <w:szCs w:val="24"/>
        </w:rPr>
        <w:t>Nov</w:t>
      </w:r>
      <w:r w:rsidR="00C908C7">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577E63">
        <w:rPr>
          <w:rFonts w:ascii="Arial" w:hAnsi="Arial" w:cs="Arial"/>
          <w:b/>
          <w:sz w:val="24"/>
          <w:szCs w:val="24"/>
        </w:rPr>
        <w:t>1</w:t>
      </w:r>
      <w:r w:rsidR="006E0940">
        <w:rPr>
          <w:rFonts w:ascii="Arial" w:hAnsi="Arial" w:cs="Arial"/>
          <w:b/>
          <w:sz w:val="24"/>
          <w:szCs w:val="24"/>
        </w:rPr>
        <w:t>6</w:t>
      </w:r>
      <w:r w:rsidR="00C908C7" w:rsidRPr="00020097">
        <w:rPr>
          <w:rFonts w:ascii="Arial" w:hAnsi="Arial" w:cs="Arial"/>
          <w:b/>
          <w:sz w:val="24"/>
          <w:szCs w:val="24"/>
        </w:rPr>
        <w:t xml:space="preserve"> </w:t>
      </w:r>
      <w:r w:rsidR="006E0940">
        <w:rPr>
          <w:rFonts w:ascii="Arial" w:hAnsi="Arial" w:cs="Arial"/>
          <w:b/>
          <w:sz w:val="24"/>
          <w:szCs w:val="24"/>
        </w:rPr>
        <w:t>Nov</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533503">
        <w:rPr>
          <w:rFonts w:ascii="Arial" w:hAnsi="Arial" w:cs="Arial"/>
        </w:rPr>
        <w:t>Further d</w:t>
      </w:r>
      <w:r w:rsidR="00CA20D4" w:rsidRPr="00CA20D4">
        <w:rPr>
          <w:rFonts w:ascii="Arial" w:hAnsi="Arial" w:cs="Arial"/>
        </w:rPr>
        <w:t xml:space="preserve">iscussion on </w:t>
      </w:r>
      <w:r w:rsidR="00533503">
        <w:rPr>
          <w:rFonts w:ascii="Arial" w:hAnsi="Arial" w:cs="Arial"/>
        </w:rPr>
        <w:t>UE behaviour and network configuration without SCS restriction</w:t>
      </w:r>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533503">
        <w:rPr>
          <w:rFonts w:ascii="Arial" w:hAnsi="Arial" w:cs="Arial"/>
          <w:lang w:val="en-US"/>
        </w:rPr>
        <w:t>7.5.1</w:t>
      </w:r>
      <w:bookmarkStart w:id="0" w:name="_GoBack"/>
      <w:bookmarkEnd w:id="0"/>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F65F9E" w:rsidRDefault="00E17D73" w:rsidP="00112DDF">
      <w:pPr>
        <w:snapToGrid w:val="0"/>
        <w:spacing w:beforeLines="50" w:before="120" w:line="360" w:lineRule="auto"/>
      </w:pPr>
      <w:bookmarkStart w:id="1" w:name="OLE_LINK15"/>
      <w:r>
        <w:t xml:space="preserve">In </w:t>
      </w:r>
      <w:r w:rsidR="00F65F9E">
        <w:t>RAN4 #88bis, a WF on UE behaviour and network configuration without SCS restriction was approved [1], and the two open issues are proposed to be checked:</w:t>
      </w:r>
    </w:p>
    <w:p w:rsidR="00111299" w:rsidRPr="00111299" w:rsidRDefault="00111299" w:rsidP="00111299">
      <w:pPr>
        <w:snapToGrid w:val="0"/>
        <w:spacing w:beforeLines="50" w:before="120" w:line="360" w:lineRule="auto"/>
        <w:ind w:left="568"/>
        <w:rPr>
          <w:i/>
        </w:rPr>
      </w:pPr>
      <w:r w:rsidRPr="00111299">
        <w:rPr>
          <w:i/>
        </w:rPr>
        <w:t xml:space="preserve">1) Check if possible to narrow down which scenarios the network can deploy. </w:t>
      </w:r>
    </w:p>
    <w:p w:rsidR="00111299" w:rsidRPr="00111299" w:rsidRDefault="00111299" w:rsidP="00111299">
      <w:pPr>
        <w:snapToGrid w:val="0"/>
        <w:spacing w:beforeLines="50" w:before="120" w:line="360" w:lineRule="auto"/>
        <w:ind w:left="568"/>
        <w:rPr>
          <w:i/>
        </w:rPr>
      </w:pPr>
      <w:r w:rsidRPr="00111299">
        <w:rPr>
          <w:i/>
        </w:rPr>
        <w:t xml:space="preserve">2) Define UE behavior in each of the scenarios network can deploy </w:t>
      </w:r>
    </w:p>
    <w:p w:rsidR="00F65F9E" w:rsidRPr="00111299" w:rsidRDefault="00111299" w:rsidP="00111299">
      <w:pPr>
        <w:snapToGrid w:val="0"/>
        <w:spacing w:beforeLines="50" w:before="120" w:line="360" w:lineRule="auto"/>
        <w:ind w:left="568" w:firstLine="284"/>
        <w:rPr>
          <w:i/>
        </w:rPr>
      </w:pPr>
      <w:r w:rsidRPr="00111299">
        <w:rPr>
          <w:i/>
        </w:rPr>
        <w:t>- Pick one option for each possible scenario</w:t>
      </w:r>
    </w:p>
    <w:p w:rsidR="0009298C" w:rsidRDefault="00111299" w:rsidP="00112DDF">
      <w:pPr>
        <w:snapToGrid w:val="0"/>
        <w:spacing w:beforeLines="50" w:before="120" w:line="360" w:lineRule="auto"/>
      </w:pPr>
      <w:r>
        <w:t>In this contribution, we further discuss the above two issues and conclude that all of the four deployment scenarios should be supported, and propose the UE behaviour for each scenario</w:t>
      </w:r>
      <w:r w:rsidR="006665BD">
        <w:t xml:space="preserve"> depending on whether or not both BWPs are active</w:t>
      </w:r>
      <w:r>
        <w:t>.</w:t>
      </w:r>
    </w:p>
    <w:bookmarkEnd w:id="1"/>
    <w:p w:rsidR="00A774B4" w:rsidRDefault="004B3A1A" w:rsidP="003C3BBA">
      <w:pPr>
        <w:pStyle w:val="Heading2"/>
      </w:pPr>
      <w:r>
        <w:t>2</w:t>
      </w:r>
      <w:r w:rsidR="00A774B4">
        <w:t xml:space="preserve">. </w:t>
      </w:r>
      <w:r w:rsidR="00650111">
        <w:t>Discussion</w:t>
      </w:r>
    </w:p>
    <w:p w:rsidR="00EB5394" w:rsidRDefault="00502B2E" w:rsidP="00EB5394">
      <w:pPr>
        <w:pStyle w:val="Heading2"/>
      </w:pPr>
      <w:bookmarkStart w:id="2" w:name="OLE_LINK10"/>
      <w:r>
        <w:t>2.1 D</w:t>
      </w:r>
      <w:r w:rsidR="00EB5394">
        <w:t>eployment scenarios</w:t>
      </w:r>
    </w:p>
    <w:p w:rsidR="00F65F9E" w:rsidRDefault="00111299" w:rsidP="00F05788">
      <w:pPr>
        <w:snapToGrid w:val="0"/>
        <w:spacing w:beforeLines="50" w:before="120" w:line="360" w:lineRule="auto"/>
      </w:pPr>
      <w:r w:rsidRPr="00111299">
        <w:t>In the WF [1]</w:t>
      </w:r>
      <w:r>
        <w:t xml:space="preserve"> four deployment scenarios are </w:t>
      </w:r>
      <w:r w:rsidR="00890A5D">
        <w:t>listed</w:t>
      </w:r>
      <w:r>
        <w:t xml:space="preserve"> to discuss the UE behaviour and network configuration without SCS restriction</w:t>
      </w:r>
      <w:r w:rsidR="0004400D">
        <w:t xml:space="preserve"> as shown in Fig. 1</w:t>
      </w:r>
      <w:r>
        <w:t>:</w:t>
      </w:r>
    </w:p>
    <w:p w:rsidR="00111299" w:rsidRDefault="00111299" w:rsidP="00111299">
      <w:pPr>
        <w:snapToGrid w:val="0"/>
        <w:spacing w:beforeLines="50" w:before="120" w:line="360" w:lineRule="auto"/>
        <w:jc w:val="center"/>
      </w:pPr>
      <w:r>
        <w:rPr>
          <w:noProof/>
          <w:lang w:val="en-US" w:eastAsia="zh-CN"/>
        </w:rPr>
        <w:drawing>
          <wp:inline distT="0" distB="0" distL="0" distR="0" wp14:anchorId="015614E0">
            <wp:extent cx="5067300" cy="23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9362" cy="2321337"/>
                    </a:xfrm>
                    <a:prstGeom prst="rect">
                      <a:avLst/>
                    </a:prstGeom>
                    <a:noFill/>
                  </pic:spPr>
                </pic:pic>
              </a:graphicData>
            </a:graphic>
          </wp:inline>
        </w:drawing>
      </w:r>
    </w:p>
    <w:p w:rsidR="00111299" w:rsidRDefault="00111299" w:rsidP="00111299">
      <w:pPr>
        <w:snapToGrid w:val="0"/>
        <w:spacing w:beforeLines="50" w:before="120" w:line="360" w:lineRule="auto"/>
        <w:jc w:val="center"/>
      </w:pPr>
      <w:r>
        <w:t>Fig. 1</w:t>
      </w:r>
      <w:r w:rsidR="005445E5">
        <w:t>.</w:t>
      </w:r>
      <w:r>
        <w:t xml:space="preserve"> Four deployment scenarios</w:t>
      </w:r>
    </w:p>
    <w:p w:rsidR="00111299" w:rsidRDefault="00843979" w:rsidP="00F05788">
      <w:pPr>
        <w:snapToGrid w:val="0"/>
        <w:spacing w:beforeLines="50" w:before="120" w:line="360" w:lineRule="auto"/>
      </w:pPr>
      <w:r>
        <w:lastRenderedPageBreak/>
        <w:t xml:space="preserve">Scenario 1 is necessary in the case where an operator statically or semi-statically partitions its owned spectrum into different carriers with each carrier supporting different SCS. </w:t>
      </w:r>
      <w:r w:rsidR="008818BA">
        <w:t xml:space="preserve">Since a limited number of supported channel bandwidth is defined in the channel bandwidth set in </w:t>
      </w:r>
      <w:r w:rsidR="003A1B35">
        <w:t>the specs, operators often own some</w:t>
      </w:r>
      <w:r w:rsidR="008818BA">
        <w:t xml:space="preserve"> </w:t>
      </w:r>
      <w:r w:rsidR="003A1B35">
        <w:t>spectrum</w:t>
      </w:r>
      <w:r w:rsidR="008818BA">
        <w:t xml:space="preserve"> which cannot </w:t>
      </w:r>
      <w:r w:rsidR="003A1B35">
        <w:t xml:space="preserve">accurately </w:t>
      </w:r>
      <w:r w:rsidR="008818BA">
        <w:t xml:space="preserve">accommodate with </w:t>
      </w:r>
      <w:r w:rsidR="003A1B35">
        <w:t>a</w:t>
      </w:r>
      <w:r w:rsidR="008818BA">
        <w:t xml:space="preserve"> </w:t>
      </w:r>
      <w:r w:rsidR="003A1B35">
        <w:t xml:space="preserve">combination of </w:t>
      </w:r>
      <w:r w:rsidR="008818BA">
        <w:t xml:space="preserve">predefined channel bandwidths, e.g., a 14 MHz spectrum can only accommodate a 10MHz carrier with 4 MHz unused if </w:t>
      </w:r>
      <w:r w:rsidR="000748FA">
        <w:t>scenario 2 cannot be supported, but if scenario 2 is supported, then the 14 MHz spectrum can be assigned with a 10 MHz carrier and a 5 MHz carrier with 1 MHz overlapped in between</w:t>
      </w:r>
      <w:r w:rsidR="0004400D">
        <w:t>, as shown in Fig. 2</w:t>
      </w:r>
      <w:r w:rsidR="000748FA">
        <w:t>.</w:t>
      </w:r>
      <w:r w:rsidR="0004400D">
        <w:t xml:space="preserve"> </w:t>
      </w:r>
      <w:r w:rsidR="00AE578D">
        <w:t xml:space="preserve">And these two carriers can be configured with different SCS in order to support different services. </w:t>
      </w:r>
      <w:r w:rsidR="0004400D">
        <w:t xml:space="preserve">Therefore, scenario 2 </w:t>
      </w:r>
      <w:r w:rsidR="00890A5D">
        <w:t>is important to ensure</w:t>
      </w:r>
      <w:r w:rsidR="00AE578D">
        <w:t xml:space="preserve"> the efficiency and flexibility of</w:t>
      </w:r>
      <w:r w:rsidR="00890A5D">
        <w:t xml:space="preserve"> spectrum usage for operators.</w:t>
      </w:r>
    </w:p>
    <w:p w:rsidR="00AE578D" w:rsidRDefault="00AE578D" w:rsidP="00AE578D">
      <w:pPr>
        <w:snapToGrid w:val="0"/>
        <w:spacing w:beforeLines="50" w:before="120" w:line="360" w:lineRule="auto"/>
        <w:jc w:val="center"/>
      </w:pPr>
      <w:r w:rsidRPr="00AE578D">
        <w:rPr>
          <w:noProof/>
          <w:lang w:val="en-US" w:eastAsia="zh-CN"/>
        </w:rPr>
        <w:drawing>
          <wp:inline distT="0" distB="0" distL="0" distR="0" wp14:anchorId="415364A9" wp14:editId="41F94554">
            <wp:extent cx="4133850" cy="28449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46308" cy="2853516"/>
                    </a:xfrm>
                    <a:prstGeom prst="rect">
                      <a:avLst/>
                    </a:prstGeom>
                  </pic:spPr>
                </pic:pic>
              </a:graphicData>
            </a:graphic>
          </wp:inline>
        </w:drawing>
      </w:r>
    </w:p>
    <w:p w:rsidR="00AE578D" w:rsidRPr="00111299" w:rsidRDefault="005445E5" w:rsidP="00AE578D">
      <w:pPr>
        <w:snapToGrid w:val="0"/>
        <w:spacing w:beforeLines="50" w:before="120" w:line="360" w:lineRule="auto"/>
        <w:jc w:val="center"/>
      </w:pPr>
      <w:r>
        <w:t>Fig. 2.</w:t>
      </w:r>
      <w:r w:rsidR="00AE578D">
        <w:t xml:space="preserve"> </w:t>
      </w:r>
      <w:r w:rsidR="000E66D9">
        <w:t>Example</w:t>
      </w:r>
      <w:r w:rsidR="00AE578D">
        <w:t xml:space="preserve"> of scenario 2</w:t>
      </w:r>
    </w:p>
    <w:p w:rsidR="00111299" w:rsidRDefault="000E66D9" w:rsidP="00F05788">
      <w:pPr>
        <w:snapToGrid w:val="0"/>
        <w:spacing w:beforeLines="50" w:before="120" w:line="360" w:lineRule="auto"/>
      </w:pPr>
      <w:r w:rsidRPr="000E66D9">
        <w:t xml:space="preserve">For </w:t>
      </w:r>
      <w:r>
        <w:t>scenario 3 and 4, it is very natural for operators. In one word, all of four deployment scenarios should be supported in order to ensure the efficiency and flexibility of spectrum usage for the operators.</w:t>
      </w:r>
    </w:p>
    <w:p w:rsidR="000E66D9" w:rsidRPr="000E66D9" w:rsidRDefault="000E66D9" w:rsidP="00F05788">
      <w:pPr>
        <w:snapToGrid w:val="0"/>
        <w:spacing w:beforeLines="50" w:before="120" w:line="360" w:lineRule="auto"/>
      </w:pPr>
      <w:r>
        <w:rPr>
          <w:b/>
        </w:rPr>
        <w:t>Proposal 1:  All of four deployment scenarios should be supported in order to ensure the efficiency and flexibility of spectrum usage for operators.</w:t>
      </w:r>
    </w:p>
    <w:p w:rsidR="00EB5394" w:rsidRDefault="00EB5394" w:rsidP="00EB5394">
      <w:pPr>
        <w:pStyle w:val="Heading2"/>
      </w:pPr>
      <w:r>
        <w:t>2.2 UE behavio</w:t>
      </w:r>
      <w:r w:rsidR="00BC3FA2">
        <w:t>u</w:t>
      </w:r>
      <w:r>
        <w:t>rs</w:t>
      </w:r>
    </w:p>
    <w:p w:rsidR="00EB5394" w:rsidRDefault="006665BD" w:rsidP="00F05788">
      <w:pPr>
        <w:snapToGrid w:val="0"/>
        <w:spacing w:beforeLines="50" w:before="120" w:line="360" w:lineRule="auto"/>
      </w:pPr>
      <w:r>
        <w:t>For each deployment, UE behaviour should be deterministic, which means that no ambiguity on UE behaviour is allowed.  Three options of UE behaviour are listed in the WF [1]:</w:t>
      </w:r>
    </w:p>
    <w:p w:rsidR="006665BD" w:rsidRPr="006665BD" w:rsidRDefault="006665BD" w:rsidP="006665BD">
      <w:pPr>
        <w:snapToGrid w:val="0"/>
        <w:spacing w:beforeLines="50" w:before="120" w:line="360" w:lineRule="auto"/>
        <w:ind w:left="568"/>
        <w:rPr>
          <w:i/>
          <w:lang w:val="en-US"/>
        </w:rPr>
      </w:pPr>
      <w:r w:rsidRPr="006665BD">
        <w:rPr>
          <w:i/>
          <w:lang w:val="en-US"/>
        </w:rPr>
        <w:t xml:space="preserve">Option 1: UE needs to satisfy the requirements based on the carrierBandwidth corresponding to the SCS of the BWP </w:t>
      </w:r>
    </w:p>
    <w:p w:rsidR="006665BD" w:rsidRPr="006665BD" w:rsidRDefault="006665BD" w:rsidP="006665BD">
      <w:pPr>
        <w:snapToGrid w:val="0"/>
        <w:spacing w:beforeLines="50" w:before="120" w:line="360" w:lineRule="auto"/>
        <w:ind w:left="568"/>
        <w:rPr>
          <w:i/>
          <w:lang w:val="en-US"/>
        </w:rPr>
      </w:pPr>
      <w:r w:rsidRPr="006665BD">
        <w:rPr>
          <w:i/>
          <w:lang w:val="en-US"/>
        </w:rPr>
        <w:t>Option 2: Pick a reference carrierBandwidth /SCS</w:t>
      </w:r>
    </w:p>
    <w:p w:rsidR="00951F2B" w:rsidRPr="006665BD" w:rsidRDefault="00E02323" w:rsidP="006665BD">
      <w:pPr>
        <w:numPr>
          <w:ilvl w:val="1"/>
          <w:numId w:val="20"/>
        </w:numPr>
        <w:tabs>
          <w:tab w:val="clear" w:pos="1440"/>
          <w:tab w:val="num" w:pos="2008"/>
        </w:tabs>
        <w:snapToGrid w:val="0"/>
        <w:spacing w:beforeLines="50" w:before="120" w:line="360" w:lineRule="auto"/>
        <w:ind w:left="2008"/>
        <w:rPr>
          <w:i/>
          <w:lang w:val="en-US"/>
        </w:rPr>
      </w:pPr>
      <w:r w:rsidRPr="006665BD">
        <w:rPr>
          <w:i/>
          <w:lang w:val="en-US"/>
        </w:rPr>
        <w:t>Reference carrierBandwidth should span all configured BW</w:t>
      </w:r>
    </w:p>
    <w:p w:rsidR="00951F2B" w:rsidRPr="006665BD" w:rsidRDefault="00E02323" w:rsidP="006665BD">
      <w:pPr>
        <w:numPr>
          <w:ilvl w:val="1"/>
          <w:numId w:val="20"/>
        </w:numPr>
        <w:tabs>
          <w:tab w:val="clear" w:pos="1440"/>
          <w:tab w:val="num" w:pos="2008"/>
        </w:tabs>
        <w:snapToGrid w:val="0"/>
        <w:spacing w:beforeLines="50" w:before="120" w:line="360" w:lineRule="auto"/>
        <w:ind w:left="2008"/>
        <w:rPr>
          <w:i/>
          <w:lang w:val="en-US"/>
        </w:rPr>
      </w:pPr>
      <w:r w:rsidRPr="006665BD">
        <w:rPr>
          <w:i/>
          <w:lang w:val="en-US"/>
        </w:rPr>
        <w:t xml:space="preserve">RF requirements need to exist for the reference carrierBandwidth /SCS combination </w:t>
      </w:r>
    </w:p>
    <w:p w:rsidR="006665BD" w:rsidRPr="006665BD" w:rsidRDefault="006665BD" w:rsidP="006665BD">
      <w:pPr>
        <w:snapToGrid w:val="0"/>
        <w:spacing w:beforeLines="50" w:before="120" w:line="360" w:lineRule="auto"/>
        <w:ind w:left="568"/>
        <w:rPr>
          <w:i/>
          <w:lang w:val="en-US"/>
        </w:rPr>
      </w:pPr>
      <w:r w:rsidRPr="006665BD">
        <w:rPr>
          <w:i/>
          <w:lang w:val="en-US"/>
        </w:rPr>
        <w:t>Option 3: BWP switch here implies a CC switch. UE can declare RLF</w:t>
      </w:r>
    </w:p>
    <w:p w:rsidR="006665BD" w:rsidRPr="006665BD" w:rsidRDefault="006665BD" w:rsidP="006665BD">
      <w:pPr>
        <w:snapToGrid w:val="0"/>
        <w:spacing w:beforeLines="50" w:before="120" w:line="360" w:lineRule="auto"/>
        <w:ind w:left="568"/>
        <w:rPr>
          <w:i/>
          <w:lang w:val="en-US"/>
        </w:rPr>
      </w:pPr>
      <w:r w:rsidRPr="006665BD">
        <w:rPr>
          <w:i/>
          <w:lang w:val="en-US"/>
        </w:rPr>
        <w:lastRenderedPageBreak/>
        <w:t>Other options not precluded</w:t>
      </w:r>
    </w:p>
    <w:p w:rsidR="006665BD" w:rsidRDefault="000F27C9" w:rsidP="00F05788">
      <w:pPr>
        <w:snapToGrid w:val="0"/>
        <w:spacing w:beforeLines="50" w:before="120" w:line="360" w:lineRule="auto"/>
        <w:rPr>
          <w:lang w:val="en-US"/>
        </w:rPr>
      </w:pPr>
      <w:r>
        <w:rPr>
          <w:lang w:val="en-US"/>
        </w:rPr>
        <w:t>Apparently, the WF’s main concern is the case where only one BWP is active at a ti</w:t>
      </w:r>
      <w:r w:rsidR="0036389F">
        <w:rPr>
          <w:lang w:val="en-US"/>
        </w:rPr>
        <w:t xml:space="preserve">me for different carriers. </w:t>
      </w:r>
      <w:r>
        <w:rPr>
          <w:lang w:val="en-US"/>
        </w:rPr>
        <w:t>But there is also possibility that both BWPs from two different carriers (scenario 1 and 2) are active, and in this case, CA-like requirements could apply, which means the two carriers are treated as CCs in a CA configuration</w:t>
      </w:r>
      <w:r w:rsidR="0036389F">
        <w:rPr>
          <w:lang w:val="en-US"/>
        </w:rPr>
        <w:t>, otherwise, option 1 and 3 apply</w:t>
      </w:r>
      <w:r w:rsidR="003454C1">
        <w:rPr>
          <w:lang w:val="en-US"/>
        </w:rPr>
        <w:t xml:space="preserve"> at the same time</w:t>
      </w:r>
      <w:r>
        <w:rPr>
          <w:lang w:val="en-US"/>
        </w:rPr>
        <w:t>.</w:t>
      </w:r>
    </w:p>
    <w:p w:rsidR="000F27C9" w:rsidRPr="006665BD" w:rsidRDefault="000F27C9" w:rsidP="00F05788">
      <w:pPr>
        <w:snapToGrid w:val="0"/>
        <w:spacing w:beforeLines="50" w:before="120" w:line="360" w:lineRule="auto"/>
        <w:rPr>
          <w:lang w:val="en-US"/>
        </w:rPr>
      </w:pPr>
      <w:r>
        <w:rPr>
          <w:b/>
        </w:rPr>
        <w:t xml:space="preserve">Proposal 2:  </w:t>
      </w:r>
      <w:r w:rsidR="00A915E7">
        <w:rPr>
          <w:b/>
        </w:rPr>
        <w:t>In scenario 1 and 2, i</w:t>
      </w:r>
      <w:r>
        <w:rPr>
          <w:b/>
        </w:rPr>
        <w:t>f both BWPs from two different carriers are active</w:t>
      </w:r>
      <w:r w:rsidR="00241BE5">
        <w:rPr>
          <w:b/>
        </w:rPr>
        <w:t xml:space="preserve"> at the same time</w:t>
      </w:r>
      <w:r w:rsidR="00A915E7">
        <w:rPr>
          <w:b/>
        </w:rPr>
        <w:t xml:space="preserve">, then the two carriers are treated as CCs in a CA configuration, </w:t>
      </w:r>
      <w:r w:rsidR="00241BE5">
        <w:rPr>
          <w:b/>
        </w:rPr>
        <w:t>thus CA-like requirements apply, o</w:t>
      </w:r>
      <w:r w:rsidR="006A7544">
        <w:rPr>
          <w:b/>
        </w:rPr>
        <w:t>therwise, option 1 and 3 apply at the same time.</w:t>
      </w:r>
    </w:p>
    <w:p w:rsidR="006665BD" w:rsidRDefault="00241BE5" w:rsidP="00F05788">
      <w:pPr>
        <w:snapToGrid w:val="0"/>
        <w:spacing w:beforeLines="50" w:before="120" w:line="360" w:lineRule="auto"/>
      </w:pPr>
      <w:r>
        <w:t xml:space="preserve">For scenario 3, if only one BWP is active at a time, then option 1 applies, otherwise, option 2 applies. </w:t>
      </w:r>
    </w:p>
    <w:p w:rsidR="00241BE5" w:rsidRDefault="00241BE5" w:rsidP="00F05788">
      <w:pPr>
        <w:snapToGrid w:val="0"/>
        <w:spacing w:beforeLines="50" w:before="120" w:line="360" w:lineRule="auto"/>
      </w:pPr>
      <w:r>
        <w:t>For scenario 4, option 1 and 2 are equivalent.</w:t>
      </w:r>
    </w:p>
    <w:p w:rsidR="002F71F5" w:rsidRPr="00241BE5" w:rsidRDefault="00241BE5" w:rsidP="00F05788">
      <w:pPr>
        <w:snapToGrid w:val="0"/>
        <w:spacing w:beforeLines="50" w:before="120" w:line="360" w:lineRule="auto"/>
      </w:pPr>
      <w:r>
        <w:t xml:space="preserve"> </w:t>
      </w:r>
      <w:r>
        <w:rPr>
          <w:b/>
        </w:rPr>
        <w:t>Proposal 3:  In scenario 3, if only one BWP is active at a time, then UE behaviours as option 1, otherwise, option 2 applies.</w:t>
      </w:r>
      <w:bookmarkEnd w:id="2"/>
    </w:p>
    <w:p w:rsidR="00176624" w:rsidRDefault="004C4CFD" w:rsidP="004C4CFD">
      <w:pPr>
        <w:pStyle w:val="Heading2"/>
      </w:pPr>
      <w:r>
        <w:t>3. Conclusions</w:t>
      </w:r>
    </w:p>
    <w:p w:rsidR="004C4CFD" w:rsidRDefault="004C4CFD" w:rsidP="004B3A1A">
      <w:r>
        <w:t>Based on the above discussions, we have the following proposal</w:t>
      </w:r>
      <w:r w:rsidR="001E18FB">
        <w:t>s</w:t>
      </w:r>
      <w:r w:rsidR="00BB1E3D">
        <w:t xml:space="preserve"> on UE behaviours and network configuration without SCS restriction</w:t>
      </w:r>
      <w:r w:rsidR="00F524A2">
        <w:t>:</w:t>
      </w:r>
    </w:p>
    <w:p w:rsidR="001F1B69" w:rsidRPr="000E66D9" w:rsidRDefault="001F1B69" w:rsidP="001F1B69">
      <w:pPr>
        <w:snapToGrid w:val="0"/>
        <w:spacing w:beforeLines="50" w:before="120" w:line="360" w:lineRule="auto"/>
      </w:pPr>
      <w:r>
        <w:rPr>
          <w:b/>
        </w:rPr>
        <w:t>Proposal 1:  All of four deployment scenarios should be supported in order to ensure the efficiency and flexibility of spectrum usage for operators.</w:t>
      </w:r>
    </w:p>
    <w:p w:rsidR="001F1B69" w:rsidRPr="006665BD" w:rsidRDefault="001F1B69" w:rsidP="001F1B69">
      <w:pPr>
        <w:snapToGrid w:val="0"/>
        <w:spacing w:beforeLines="50" w:before="120" w:line="360" w:lineRule="auto"/>
        <w:rPr>
          <w:lang w:val="en-US"/>
        </w:rPr>
      </w:pPr>
      <w:r>
        <w:rPr>
          <w:b/>
        </w:rPr>
        <w:t>Proposal 2:  In scenario 1 and 2, if both BWPs from two different carriers are active at the same time, then the two carriers are treated as CCs in a CA configuration, thus CA-like requirements apply, otherwise, option 1 and 3 apply at the same time.</w:t>
      </w:r>
    </w:p>
    <w:p w:rsidR="00421196" w:rsidRPr="001F1B69" w:rsidRDefault="001F1B69" w:rsidP="00421196">
      <w:pPr>
        <w:snapToGrid w:val="0"/>
        <w:spacing w:beforeLines="50" w:before="120" w:line="360" w:lineRule="auto"/>
      </w:pPr>
      <w:r>
        <w:rPr>
          <w:b/>
        </w:rPr>
        <w:t>Proposal 3:  In scenario 3, if only one BWP is active at a time, then UE behaviours as option 1, otherwise, option 2 applies.</w:t>
      </w:r>
    </w:p>
    <w:p w:rsidR="00A774B4" w:rsidRPr="00AD360E" w:rsidRDefault="00A774B4" w:rsidP="00586606">
      <w:pPr>
        <w:pStyle w:val="Heading1"/>
        <w:rPr>
          <w:sz w:val="32"/>
        </w:rPr>
      </w:pPr>
      <w:r w:rsidRPr="00AD360E">
        <w:rPr>
          <w:sz w:val="32"/>
        </w:rPr>
        <w:t>References</w:t>
      </w:r>
    </w:p>
    <w:p w:rsidR="002554FE" w:rsidRDefault="00AE5F5B" w:rsidP="00CA20D4">
      <w:r>
        <w:t xml:space="preserve">[1] </w:t>
      </w:r>
      <w:r w:rsidR="00533503" w:rsidRPr="00533503">
        <w:t>R4-1814147 WF on UE behaviour and network configuration without SCS restriction</w:t>
      </w:r>
      <w:r w:rsidR="00533503">
        <w:t>, Qualcomm, Huawei</w:t>
      </w:r>
    </w:p>
    <w:p w:rsidR="00ED24C4" w:rsidRPr="005C767E" w:rsidRDefault="00ED24C4" w:rsidP="009C515A"/>
    <w:sectPr w:rsidR="00ED24C4" w:rsidRPr="005C767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0D3" w:rsidRDefault="00EA70D3">
      <w:r>
        <w:separator/>
      </w:r>
    </w:p>
  </w:endnote>
  <w:endnote w:type="continuationSeparator" w:id="0">
    <w:p w:rsidR="00EA70D3" w:rsidRDefault="00EA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0D3" w:rsidRDefault="00EA70D3">
      <w:r>
        <w:separator/>
      </w:r>
    </w:p>
  </w:footnote>
  <w:footnote w:type="continuationSeparator" w:id="0">
    <w:p w:rsidR="00EA70D3" w:rsidRDefault="00EA7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46D50"/>
    <w:multiLevelType w:val="hybridMultilevel"/>
    <w:tmpl w:val="D644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8F8"/>
    <w:multiLevelType w:val="hybridMultilevel"/>
    <w:tmpl w:val="45AC43C2"/>
    <w:lvl w:ilvl="0" w:tplc="FA24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D7C8E"/>
    <w:multiLevelType w:val="hybridMultilevel"/>
    <w:tmpl w:val="B55E5188"/>
    <w:lvl w:ilvl="0" w:tplc="DA963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25B53"/>
    <w:multiLevelType w:val="hybridMultilevel"/>
    <w:tmpl w:val="82B24566"/>
    <w:lvl w:ilvl="0" w:tplc="C014391E">
      <w:start w:val="1"/>
      <w:numFmt w:val="bullet"/>
      <w:lvlText w:val="–"/>
      <w:lvlJc w:val="left"/>
      <w:pPr>
        <w:tabs>
          <w:tab w:val="num" w:pos="720"/>
        </w:tabs>
        <w:ind w:left="720" w:hanging="360"/>
      </w:pPr>
      <w:rPr>
        <w:rFonts w:ascii="Arial" w:hAnsi="Arial" w:hint="default"/>
      </w:rPr>
    </w:lvl>
    <w:lvl w:ilvl="1" w:tplc="A058FDA8">
      <w:start w:val="1"/>
      <w:numFmt w:val="bullet"/>
      <w:lvlText w:val="–"/>
      <w:lvlJc w:val="left"/>
      <w:pPr>
        <w:tabs>
          <w:tab w:val="num" w:pos="1440"/>
        </w:tabs>
        <w:ind w:left="1440" w:hanging="360"/>
      </w:pPr>
      <w:rPr>
        <w:rFonts w:ascii="Arial" w:hAnsi="Arial" w:hint="default"/>
      </w:rPr>
    </w:lvl>
    <w:lvl w:ilvl="2" w:tplc="C110FFA6" w:tentative="1">
      <w:start w:val="1"/>
      <w:numFmt w:val="bullet"/>
      <w:lvlText w:val="–"/>
      <w:lvlJc w:val="left"/>
      <w:pPr>
        <w:tabs>
          <w:tab w:val="num" w:pos="2160"/>
        </w:tabs>
        <w:ind w:left="2160" w:hanging="360"/>
      </w:pPr>
      <w:rPr>
        <w:rFonts w:ascii="Arial" w:hAnsi="Arial" w:hint="default"/>
      </w:rPr>
    </w:lvl>
    <w:lvl w:ilvl="3" w:tplc="26B42348" w:tentative="1">
      <w:start w:val="1"/>
      <w:numFmt w:val="bullet"/>
      <w:lvlText w:val="–"/>
      <w:lvlJc w:val="left"/>
      <w:pPr>
        <w:tabs>
          <w:tab w:val="num" w:pos="2880"/>
        </w:tabs>
        <w:ind w:left="2880" w:hanging="360"/>
      </w:pPr>
      <w:rPr>
        <w:rFonts w:ascii="Arial" w:hAnsi="Arial" w:hint="default"/>
      </w:rPr>
    </w:lvl>
    <w:lvl w:ilvl="4" w:tplc="C7A8293A" w:tentative="1">
      <w:start w:val="1"/>
      <w:numFmt w:val="bullet"/>
      <w:lvlText w:val="–"/>
      <w:lvlJc w:val="left"/>
      <w:pPr>
        <w:tabs>
          <w:tab w:val="num" w:pos="3600"/>
        </w:tabs>
        <w:ind w:left="3600" w:hanging="360"/>
      </w:pPr>
      <w:rPr>
        <w:rFonts w:ascii="Arial" w:hAnsi="Arial" w:hint="default"/>
      </w:rPr>
    </w:lvl>
    <w:lvl w:ilvl="5" w:tplc="FA8C78E6" w:tentative="1">
      <w:start w:val="1"/>
      <w:numFmt w:val="bullet"/>
      <w:lvlText w:val="–"/>
      <w:lvlJc w:val="left"/>
      <w:pPr>
        <w:tabs>
          <w:tab w:val="num" w:pos="4320"/>
        </w:tabs>
        <w:ind w:left="4320" w:hanging="360"/>
      </w:pPr>
      <w:rPr>
        <w:rFonts w:ascii="Arial" w:hAnsi="Arial" w:hint="default"/>
      </w:rPr>
    </w:lvl>
    <w:lvl w:ilvl="6" w:tplc="85103E58" w:tentative="1">
      <w:start w:val="1"/>
      <w:numFmt w:val="bullet"/>
      <w:lvlText w:val="–"/>
      <w:lvlJc w:val="left"/>
      <w:pPr>
        <w:tabs>
          <w:tab w:val="num" w:pos="5040"/>
        </w:tabs>
        <w:ind w:left="5040" w:hanging="360"/>
      </w:pPr>
      <w:rPr>
        <w:rFonts w:ascii="Arial" w:hAnsi="Arial" w:hint="default"/>
      </w:rPr>
    </w:lvl>
    <w:lvl w:ilvl="7" w:tplc="1A5696B0" w:tentative="1">
      <w:start w:val="1"/>
      <w:numFmt w:val="bullet"/>
      <w:lvlText w:val="–"/>
      <w:lvlJc w:val="left"/>
      <w:pPr>
        <w:tabs>
          <w:tab w:val="num" w:pos="5760"/>
        </w:tabs>
        <w:ind w:left="5760" w:hanging="360"/>
      </w:pPr>
      <w:rPr>
        <w:rFonts w:ascii="Arial" w:hAnsi="Arial" w:hint="default"/>
      </w:rPr>
    </w:lvl>
    <w:lvl w:ilvl="8" w:tplc="4E9AC8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6"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5"/>
  </w:num>
  <w:num w:numId="7">
    <w:abstractNumId w:val="7"/>
  </w:num>
  <w:num w:numId="8">
    <w:abstractNumId w:val="18"/>
  </w:num>
  <w:num w:numId="9">
    <w:abstractNumId w:val="6"/>
  </w:num>
  <w:num w:numId="10">
    <w:abstractNumId w:val="8"/>
  </w:num>
  <w:num w:numId="11">
    <w:abstractNumId w:val="5"/>
  </w:num>
  <w:num w:numId="12">
    <w:abstractNumId w:val="17"/>
  </w:num>
  <w:num w:numId="13">
    <w:abstractNumId w:val="4"/>
  </w:num>
  <w:num w:numId="14">
    <w:abstractNumId w:val="2"/>
  </w:num>
  <w:num w:numId="15">
    <w:abstractNumId w:val="14"/>
  </w:num>
  <w:num w:numId="16">
    <w:abstractNumId w:val="11"/>
  </w:num>
  <w:num w:numId="17">
    <w:abstractNumId w:val="10"/>
  </w:num>
  <w:num w:numId="18">
    <w:abstractNumId w:val="3"/>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21"/>
    <w:rsid w:val="00022BF1"/>
    <w:rsid w:val="0002302F"/>
    <w:rsid w:val="00033397"/>
    <w:rsid w:val="0003531E"/>
    <w:rsid w:val="00035E9E"/>
    <w:rsid w:val="00040095"/>
    <w:rsid w:val="00041D03"/>
    <w:rsid w:val="000424A4"/>
    <w:rsid w:val="000430C8"/>
    <w:rsid w:val="0004400D"/>
    <w:rsid w:val="000460E1"/>
    <w:rsid w:val="00051834"/>
    <w:rsid w:val="000540D2"/>
    <w:rsid w:val="00054657"/>
    <w:rsid w:val="00054A22"/>
    <w:rsid w:val="00054C25"/>
    <w:rsid w:val="00060D17"/>
    <w:rsid w:val="00063CCE"/>
    <w:rsid w:val="000641A0"/>
    <w:rsid w:val="00064337"/>
    <w:rsid w:val="000655A6"/>
    <w:rsid w:val="000713DD"/>
    <w:rsid w:val="0007206F"/>
    <w:rsid w:val="00073640"/>
    <w:rsid w:val="000748FA"/>
    <w:rsid w:val="00075FE2"/>
    <w:rsid w:val="00080512"/>
    <w:rsid w:val="00084D88"/>
    <w:rsid w:val="00087443"/>
    <w:rsid w:val="0009298C"/>
    <w:rsid w:val="00094104"/>
    <w:rsid w:val="00097295"/>
    <w:rsid w:val="00097971"/>
    <w:rsid w:val="000A27D2"/>
    <w:rsid w:val="000A2A1B"/>
    <w:rsid w:val="000A329E"/>
    <w:rsid w:val="000A5283"/>
    <w:rsid w:val="000B23FA"/>
    <w:rsid w:val="000B266A"/>
    <w:rsid w:val="000C2814"/>
    <w:rsid w:val="000C2F6E"/>
    <w:rsid w:val="000C423C"/>
    <w:rsid w:val="000C5D8B"/>
    <w:rsid w:val="000D4C27"/>
    <w:rsid w:val="000D58AB"/>
    <w:rsid w:val="000E0120"/>
    <w:rsid w:val="000E12B4"/>
    <w:rsid w:val="000E3796"/>
    <w:rsid w:val="000E5AB0"/>
    <w:rsid w:val="000E66D9"/>
    <w:rsid w:val="000F27C9"/>
    <w:rsid w:val="000F3520"/>
    <w:rsid w:val="000F519D"/>
    <w:rsid w:val="000F5F41"/>
    <w:rsid w:val="00100663"/>
    <w:rsid w:val="001054BD"/>
    <w:rsid w:val="00111299"/>
    <w:rsid w:val="00112199"/>
    <w:rsid w:val="00112DDF"/>
    <w:rsid w:val="001150F5"/>
    <w:rsid w:val="00117707"/>
    <w:rsid w:val="001238B4"/>
    <w:rsid w:val="00141BBB"/>
    <w:rsid w:val="00147DA0"/>
    <w:rsid w:val="001510E7"/>
    <w:rsid w:val="001522E6"/>
    <w:rsid w:val="00153F5A"/>
    <w:rsid w:val="00154F22"/>
    <w:rsid w:val="001562CF"/>
    <w:rsid w:val="00157BDA"/>
    <w:rsid w:val="00160311"/>
    <w:rsid w:val="00161538"/>
    <w:rsid w:val="001622C8"/>
    <w:rsid w:val="001628C0"/>
    <w:rsid w:val="00163665"/>
    <w:rsid w:val="00164AF3"/>
    <w:rsid w:val="00166850"/>
    <w:rsid w:val="00171C9E"/>
    <w:rsid w:val="00173DAC"/>
    <w:rsid w:val="00175853"/>
    <w:rsid w:val="00176624"/>
    <w:rsid w:val="00176888"/>
    <w:rsid w:val="0017705E"/>
    <w:rsid w:val="00177C85"/>
    <w:rsid w:val="00180B71"/>
    <w:rsid w:val="00180E87"/>
    <w:rsid w:val="00192B14"/>
    <w:rsid w:val="001A5BCB"/>
    <w:rsid w:val="001B029E"/>
    <w:rsid w:val="001B0998"/>
    <w:rsid w:val="001B3749"/>
    <w:rsid w:val="001B3EF3"/>
    <w:rsid w:val="001B5B24"/>
    <w:rsid w:val="001C3B43"/>
    <w:rsid w:val="001D02C2"/>
    <w:rsid w:val="001D3E07"/>
    <w:rsid w:val="001D4D49"/>
    <w:rsid w:val="001E18FB"/>
    <w:rsid w:val="001F00F9"/>
    <w:rsid w:val="001F168B"/>
    <w:rsid w:val="001F1B69"/>
    <w:rsid w:val="001F2A5A"/>
    <w:rsid w:val="001F7B07"/>
    <w:rsid w:val="00202296"/>
    <w:rsid w:val="002037CD"/>
    <w:rsid w:val="00206DCE"/>
    <w:rsid w:val="00211910"/>
    <w:rsid w:val="00211F6A"/>
    <w:rsid w:val="00214638"/>
    <w:rsid w:val="002177D5"/>
    <w:rsid w:val="002206C9"/>
    <w:rsid w:val="00226498"/>
    <w:rsid w:val="00232341"/>
    <w:rsid w:val="002336E5"/>
    <w:rsid w:val="00233A8A"/>
    <w:rsid w:val="002347A2"/>
    <w:rsid w:val="00234C1E"/>
    <w:rsid w:val="002365D8"/>
    <w:rsid w:val="00241BE5"/>
    <w:rsid w:val="00243AE2"/>
    <w:rsid w:val="002506A3"/>
    <w:rsid w:val="002554FE"/>
    <w:rsid w:val="00262479"/>
    <w:rsid w:val="002628F9"/>
    <w:rsid w:val="00264BF6"/>
    <w:rsid w:val="00277AA4"/>
    <w:rsid w:val="00281D5F"/>
    <w:rsid w:val="002A29CD"/>
    <w:rsid w:val="002B33D9"/>
    <w:rsid w:val="002B37F3"/>
    <w:rsid w:val="002B3E19"/>
    <w:rsid w:val="002B6EA6"/>
    <w:rsid w:val="002B742F"/>
    <w:rsid w:val="002C0BCC"/>
    <w:rsid w:val="002C2CE7"/>
    <w:rsid w:val="002C2FFF"/>
    <w:rsid w:val="002D0D77"/>
    <w:rsid w:val="002D62C5"/>
    <w:rsid w:val="002E261B"/>
    <w:rsid w:val="002F2BBF"/>
    <w:rsid w:val="002F37A3"/>
    <w:rsid w:val="002F3EE7"/>
    <w:rsid w:val="002F6251"/>
    <w:rsid w:val="002F6DE0"/>
    <w:rsid w:val="002F71F5"/>
    <w:rsid w:val="00300132"/>
    <w:rsid w:val="00300CE5"/>
    <w:rsid w:val="00304482"/>
    <w:rsid w:val="003078DA"/>
    <w:rsid w:val="00312649"/>
    <w:rsid w:val="00312FD0"/>
    <w:rsid w:val="003154DA"/>
    <w:rsid w:val="003172DC"/>
    <w:rsid w:val="00331BAE"/>
    <w:rsid w:val="003339BE"/>
    <w:rsid w:val="00334934"/>
    <w:rsid w:val="00334A6D"/>
    <w:rsid w:val="00334A9B"/>
    <w:rsid w:val="00342164"/>
    <w:rsid w:val="00342406"/>
    <w:rsid w:val="003454C1"/>
    <w:rsid w:val="00345B61"/>
    <w:rsid w:val="003502CB"/>
    <w:rsid w:val="003514C8"/>
    <w:rsid w:val="0035253A"/>
    <w:rsid w:val="0035462D"/>
    <w:rsid w:val="00354EED"/>
    <w:rsid w:val="003560C9"/>
    <w:rsid w:val="0036389F"/>
    <w:rsid w:val="003736EA"/>
    <w:rsid w:val="00373B65"/>
    <w:rsid w:val="00376811"/>
    <w:rsid w:val="003777AC"/>
    <w:rsid w:val="003778FD"/>
    <w:rsid w:val="00381C45"/>
    <w:rsid w:val="00385C5E"/>
    <w:rsid w:val="003921A5"/>
    <w:rsid w:val="00395F1A"/>
    <w:rsid w:val="0039743F"/>
    <w:rsid w:val="003A108D"/>
    <w:rsid w:val="003A1B35"/>
    <w:rsid w:val="003A77AC"/>
    <w:rsid w:val="003A7F73"/>
    <w:rsid w:val="003B1516"/>
    <w:rsid w:val="003B4169"/>
    <w:rsid w:val="003B54DD"/>
    <w:rsid w:val="003B7140"/>
    <w:rsid w:val="003B7288"/>
    <w:rsid w:val="003C2BCC"/>
    <w:rsid w:val="003C3971"/>
    <w:rsid w:val="003C3BBA"/>
    <w:rsid w:val="003C4575"/>
    <w:rsid w:val="003D2164"/>
    <w:rsid w:val="003E0C39"/>
    <w:rsid w:val="003E37F2"/>
    <w:rsid w:val="003F3213"/>
    <w:rsid w:val="003F4D2C"/>
    <w:rsid w:val="003F622C"/>
    <w:rsid w:val="003F6DF7"/>
    <w:rsid w:val="00405093"/>
    <w:rsid w:val="00406289"/>
    <w:rsid w:val="00420818"/>
    <w:rsid w:val="00421196"/>
    <w:rsid w:val="004232C3"/>
    <w:rsid w:val="00425172"/>
    <w:rsid w:val="00427248"/>
    <w:rsid w:val="00433D41"/>
    <w:rsid w:val="00437483"/>
    <w:rsid w:val="004405DF"/>
    <w:rsid w:val="00441F95"/>
    <w:rsid w:val="00443AC7"/>
    <w:rsid w:val="00443C71"/>
    <w:rsid w:val="00451129"/>
    <w:rsid w:val="004512FD"/>
    <w:rsid w:val="0045528B"/>
    <w:rsid w:val="00457195"/>
    <w:rsid w:val="00463CE0"/>
    <w:rsid w:val="004643F5"/>
    <w:rsid w:val="00464FAF"/>
    <w:rsid w:val="00465C09"/>
    <w:rsid w:val="0047459F"/>
    <w:rsid w:val="00477256"/>
    <w:rsid w:val="004779D7"/>
    <w:rsid w:val="004874FF"/>
    <w:rsid w:val="0049105B"/>
    <w:rsid w:val="00492B60"/>
    <w:rsid w:val="004A0C13"/>
    <w:rsid w:val="004A1F85"/>
    <w:rsid w:val="004A25FF"/>
    <w:rsid w:val="004A35C4"/>
    <w:rsid w:val="004A44DA"/>
    <w:rsid w:val="004B328B"/>
    <w:rsid w:val="004B3A1A"/>
    <w:rsid w:val="004B3DA7"/>
    <w:rsid w:val="004C2612"/>
    <w:rsid w:val="004C4CFD"/>
    <w:rsid w:val="004C540B"/>
    <w:rsid w:val="004C5B03"/>
    <w:rsid w:val="004C614B"/>
    <w:rsid w:val="004C7C49"/>
    <w:rsid w:val="004D2475"/>
    <w:rsid w:val="004D3578"/>
    <w:rsid w:val="004D4CDE"/>
    <w:rsid w:val="004D6B4B"/>
    <w:rsid w:val="004D7896"/>
    <w:rsid w:val="004E213A"/>
    <w:rsid w:val="004F102B"/>
    <w:rsid w:val="004F11C9"/>
    <w:rsid w:val="004F1898"/>
    <w:rsid w:val="004F1FD3"/>
    <w:rsid w:val="004F65FB"/>
    <w:rsid w:val="004F6838"/>
    <w:rsid w:val="005028A1"/>
    <w:rsid w:val="00502B2E"/>
    <w:rsid w:val="00504387"/>
    <w:rsid w:val="005045A6"/>
    <w:rsid w:val="0050760A"/>
    <w:rsid w:val="00510D66"/>
    <w:rsid w:val="00512082"/>
    <w:rsid w:val="005152A0"/>
    <w:rsid w:val="0052095E"/>
    <w:rsid w:val="00525B61"/>
    <w:rsid w:val="00527855"/>
    <w:rsid w:val="00531643"/>
    <w:rsid w:val="00532C22"/>
    <w:rsid w:val="00533503"/>
    <w:rsid w:val="00535BD6"/>
    <w:rsid w:val="00535D79"/>
    <w:rsid w:val="005409E7"/>
    <w:rsid w:val="005435E1"/>
    <w:rsid w:val="00543E6C"/>
    <w:rsid w:val="005445E5"/>
    <w:rsid w:val="005467DF"/>
    <w:rsid w:val="00550D3A"/>
    <w:rsid w:val="005512DE"/>
    <w:rsid w:val="0055305E"/>
    <w:rsid w:val="0055357F"/>
    <w:rsid w:val="00553B70"/>
    <w:rsid w:val="00554BA2"/>
    <w:rsid w:val="00555950"/>
    <w:rsid w:val="0056127F"/>
    <w:rsid w:val="00561A57"/>
    <w:rsid w:val="00561C10"/>
    <w:rsid w:val="00565087"/>
    <w:rsid w:val="00577E63"/>
    <w:rsid w:val="0058007C"/>
    <w:rsid w:val="0058151D"/>
    <w:rsid w:val="00582D03"/>
    <w:rsid w:val="005854D1"/>
    <w:rsid w:val="00586606"/>
    <w:rsid w:val="005873EF"/>
    <w:rsid w:val="005909F0"/>
    <w:rsid w:val="00595FE4"/>
    <w:rsid w:val="0059626E"/>
    <w:rsid w:val="005A2850"/>
    <w:rsid w:val="005A4641"/>
    <w:rsid w:val="005A54CA"/>
    <w:rsid w:val="005A55A9"/>
    <w:rsid w:val="005B082C"/>
    <w:rsid w:val="005B679C"/>
    <w:rsid w:val="005C09B7"/>
    <w:rsid w:val="005C16FB"/>
    <w:rsid w:val="005C350D"/>
    <w:rsid w:val="005C39AC"/>
    <w:rsid w:val="005C767E"/>
    <w:rsid w:val="005C7BEC"/>
    <w:rsid w:val="005D013D"/>
    <w:rsid w:val="005D10D7"/>
    <w:rsid w:val="005D2E01"/>
    <w:rsid w:val="005D4344"/>
    <w:rsid w:val="005D53F4"/>
    <w:rsid w:val="005D701B"/>
    <w:rsid w:val="005D7055"/>
    <w:rsid w:val="005D723E"/>
    <w:rsid w:val="005D7F7C"/>
    <w:rsid w:val="005E6EC8"/>
    <w:rsid w:val="005E7FDF"/>
    <w:rsid w:val="005F5044"/>
    <w:rsid w:val="005F73A1"/>
    <w:rsid w:val="005F73DC"/>
    <w:rsid w:val="005F7E37"/>
    <w:rsid w:val="0060232C"/>
    <w:rsid w:val="00602618"/>
    <w:rsid w:val="00604D78"/>
    <w:rsid w:val="00604D7A"/>
    <w:rsid w:val="00607980"/>
    <w:rsid w:val="006130BF"/>
    <w:rsid w:val="0061318D"/>
    <w:rsid w:val="00614FDF"/>
    <w:rsid w:val="0061620A"/>
    <w:rsid w:val="00616223"/>
    <w:rsid w:val="0062106C"/>
    <w:rsid w:val="00623045"/>
    <w:rsid w:val="00626CB4"/>
    <w:rsid w:val="00626F03"/>
    <w:rsid w:val="00632E59"/>
    <w:rsid w:val="006352AD"/>
    <w:rsid w:val="00641F66"/>
    <w:rsid w:val="00641FEA"/>
    <w:rsid w:val="006433A8"/>
    <w:rsid w:val="00650111"/>
    <w:rsid w:val="00653213"/>
    <w:rsid w:val="0065649E"/>
    <w:rsid w:val="00657C27"/>
    <w:rsid w:val="00661D64"/>
    <w:rsid w:val="006665BD"/>
    <w:rsid w:val="00666936"/>
    <w:rsid w:val="00666B6C"/>
    <w:rsid w:val="00667A67"/>
    <w:rsid w:val="006728EB"/>
    <w:rsid w:val="00672A43"/>
    <w:rsid w:val="00672B03"/>
    <w:rsid w:val="0067534A"/>
    <w:rsid w:val="006762C4"/>
    <w:rsid w:val="006769D9"/>
    <w:rsid w:val="00682136"/>
    <w:rsid w:val="006827B8"/>
    <w:rsid w:val="0068473C"/>
    <w:rsid w:val="006861FA"/>
    <w:rsid w:val="0068747A"/>
    <w:rsid w:val="006905F6"/>
    <w:rsid w:val="0069072A"/>
    <w:rsid w:val="00693227"/>
    <w:rsid w:val="006A399F"/>
    <w:rsid w:val="006A4F52"/>
    <w:rsid w:val="006A7544"/>
    <w:rsid w:val="006B3CCB"/>
    <w:rsid w:val="006B79D4"/>
    <w:rsid w:val="006C665F"/>
    <w:rsid w:val="006D1D48"/>
    <w:rsid w:val="006D6C26"/>
    <w:rsid w:val="006E0940"/>
    <w:rsid w:val="006E184C"/>
    <w:rsid w:val="006E5AF9"/>
    <w:rsid w:val="006E5C86"/>
    <w:rsid w:val="006F0B83"/>
    <w:rsid w:val="006F1078"/>
    <w:rsid w:val="006F1264"/>
    <w:rsid w:val="006F2A67"/>
    <w:rsid w:val="007033F1"/>
    <w:rsid w:val="00706362"/>
    <w:rsid w:val="00706F17"/>
    <w:rsid w:val="00712764"/>
    <w:rsid w:val="00716074"/>
    <w:rsid w:val="00720A82"/>
    <w:rsid w:val="00727065"/>
    <w:rsid w:val="00727A1D"/>
    <w:rsid w:val="00734A5B"/>
    <w:rsid w:val="00742831"/>
    <w:rsid w:val="00743D7F"/>
    <w:rsid w:val="00744E76"/>
    <w:rsid w:val="007467F3"/>
    <w:rsid w:val="00750782"/>
    <w:rsid w:val="00751F00"/>
    <w:rsid w:val="0075375D"/>
    <w:rsid w:val="00755EB6"/>
    <w:rsid w:val="00760D3B"/>
    <w:rsid w:val="00763D76"/>
    <w:rsid w:val="00765FC2"/>
    <w:rsid w:val="00772A84"/>
    <w:rsid w:val="00781F0F"/>
    <w:rsid w:val="00784AE8"/>
    <w:rsid w:val="0078738E"/>
    <w:rsid w:val="00795F2A"/>
    <w:rsid w:val="007B2632"/>
    <w:rsid w:val="007B3134"/>
    <w:rsid w:val="007B5604"/>
    <w:rsid w:val="007B7D83"/>
    <w:rsid w:val="007C08E6"/>
    <w:rsid w:val="007C5921"/>
    <w:rsid w:val="007C5995"/>
    <w:rsid w:val="007C60E9"/>
    <w:rsid w:val="007C6261"/>
    <w:rsid w:val="007C6CE1"/>
    <w:rsid w:val="007C6D79"/>
    <w:rsid w:val="007D123F"/>
    <w:rsid w:val="007D3C14"/>
    <w:rsid w:val="007D7B56"/>
    <w:rsid w:val="007E2F33"/>
    <w:rsid w:val="007E488E"/>
    <w:rsid w:val="007E5553"/>
    <w:rsid w:val="007E781A"/>
    <w:rsid w:val="007F2B1C"/>
    <w:rsid w:val="007F7550"/>
    <w:rsid w:val="008025D5"/>
    <w:rsid w:val="008028A4"/>
    <w:rsid w:val="00803603"/>
    <w:rsid w:val="008078D7"/>
    <w:rsid w:val="008118D1"/>
    <w:rsid w:val="008125E2"/>
    <w:rsid w:val="008131E6"/>
    <w:rsid w:val="008142F2"/>
    <w:rsid w:val="00814D3C"/>
    <w:rsid w:val="00815F0D"/>
    <w:rsid w:val="00817662"/>
    <w:rsid w:val="00820E77"/>
    <w:rsid w:val="00821A74"/>
    <w:rsid w:val="00822822"/>
    <w:rsid w:val="00823A62"/>
    <w:rsid w:val="00824DD7"/>
    <w:rsid w:val="00826766"/>
    <w:rsid w:val="00826CD3"/>
    <w:rsid w:val="0083042D"/>
    <w:rsid w:val="00830799"/>
    <w:rsid w:val="00831F46"/>
    <w:rsid w:val="00831FEC"/>
    <w:rsid w:val="00836E9B"/>
    <w:rsid w:val="008423C0"/>
    <w:rsid w:val="00843979"/>
    <w:rsid w:val="00843F0B"/>
    <w:rsid w:val="008444A1"/>
    <w:rsid w:val="008446FB"/>
    <w:rsid w:val="008512BC"/>
    <w:rsid w:val="008523D4"/>
    <w:rsid w:val="00854F23"/>
    <w:rsid w:val="008550CA"/>
    <w:rsid w:val="008571E7"/>
    <w:rsid w:val="0087004B"/>
    <w:rsid w:val="008744F1"/>
    <w:rsid w:val="008768CA"/>
    <w:rsid w:val="008818BA"/>
    <w:rsid w:val="0088299B"/>
    <w:rsid w:val="00890746"/>
    <w:rsid w:val="00890A5D"/>
    <w:rsid w:val="008915D3"/>
    <w:rsid w:val="00894EF4"/>
    <w:rsid w:val="00897BE2"/>
    <w:rsid w:val="008B1567"/>
    <w:rsid w:val="008B3626"/>
    <w:rsid w:val="008B49B2"/>
    <w:rsid w:val="008C653D"/>
    <w:rsid w:val="008C6B01"/>
    <w:rsid w:val="008D260D"/>
    <w:rsid w:val="008D3696"/>
    <w:rsid w:val="008E2C73"/>
    <w:rsid w:val="008E31A8"/>
    <w:rsid w:val="008E73A2"/>
    <w:rsid w:val="008F00FC"/>
    <w:rsid w:val="008F4C8C"/>
    <w:rsid w:val="0090271F"/>
    <w:rsid w:val="00902E23"/>
    <w:rsid w:val="00903694"/>
    <w:rsid w:val="00907E11"/>
    <w:rsid w:val="009112E9"/>
    <w:rsid w:val="00912376"/>
    <w:rsid w:val="0091348E"/>
    <w:rsid w:val="00917CCB"/>
    <w:rsid w:val="00927F37"/>
    <w:rsid w:val="00932194"/>
    <w:rsid w:val="009324EB"/>
    <w:rsid w:val="00934486"/>
    <w:rsid w:val="00934971"/>
    <w:rsid w:val="009363EB"/>
    <w:rsid w:val="009427DB"/>
    <w:rsid w:val="00942CF7"/>
    <w:rsid w:val="00942EC2"/>
    <w:rsid w:val="00945586"/>
    <w:rsid w:val="00945CBC"/>
    <w:rsid w:val="00945D05"/>
    <w:rsid w:val="00951CF3"/>
    <w:rsid w:val="00951F2B"/>
    <w:rsid w:val="0096165E"/>
    <w:rsid w:val="00965DD5"/>
    <w:rsid w:val="009678BB"/>
    <w:rsid w:val="00970D6F"/>
    <w:rsid w:val="009712FD"/>
    <w:rsid w:val="0097211A"/>
    <w:rsid w:val="009778FD"/>
    <w:rsid w:val="00984914"/>
    <w:rsid w:val="009852F7"/>
    <w:rsid w:val="009854B3"/>
    <w:rsid w:val="00986EDE"/>
    <w:rsid w:val="00993D5E"/>
    <w:rsid w:val="00994A9A"/>
    <w:rsid w:val="009A0684"/>
    <w:rsid w:val="009A0B6A"/>
    <w:rsid w:val="009A1A90"/>
    <w:rsid w:val="009A21F7"/>
    <w:rsid w:val="009A2E5E"/>
    <w:rsid w:val="009B191B"/>
    <w:rsid w:val="009B35EA"/>
    <w:rsid w:val="009B4514"/>
    <w:rsid w:val="009B48D3"/>
    <w:rsid w:val="009C0197"/>
    <w:rsid w:val="009C515A"/>
    <w:rsid w:val="009C6482"/>
    <w:rsid w:val="009D001E"/>
    <w:rsid w:val="009D03A4"/>
    <w:rsid w:val="009D3287"/>
    <w:rsid w:val="009D4DCC"/>
    <w:rsid w:val="009E176E"/>
    <w:rsid w:val="009E5993"/>
    <w:rsid w:val="009F37B7"/>
    <w:rsid w:val="009F42FA"/>
    <w:rsid w:val="009F6952"/>
    <w:rsid w:val="009F769B"/>
    <w:rsid w:val="00A03132"/>
    <w:rsid w:val="00A0341F"/>
    <w:rsid w:val="00A03DCF"/>
    <w:rsid w:val="00A03FA7"/>
    <w:rsid w:val="00A045FC"/>
    <w:rsid w:val="00A07112"/>
    <w:rsid w:val="00A10F02"/>
    <w:rsid w:val="00A120B1"/>
    <w:rsid w:val="00A12347"/>
    <w:rsid w:val="00A164B4"/>
    <w:rsid w:val="00A1655E"/>
    <w:rsid w:val="00A165F0"/>
    <w:rsid w:val="00A208A4"/>
    <w:rsid w:val="00A21082"/>
    <w:rsid w:val="00A22243"/>
    <w:rsid w:val="00A2374A"/>
    <w:rsid w:val="00A26380"/>
    <w:rsid w:val="00A30D9F"/>
    <w:rsid w:val="00A41EBD"/>
    <w:rsid w:val="00A42068"/>
    <w:rsid w:val="00A42A09"/>
    <w:rsid w:val="00A47653"/>
    <w:rsid w:val="00A476AA"/>
    <w:rsid w:val="00A47923"/>
    <w:rsid w:val="00A52733"/>
    <w:rsid w:val="00A52821"/>
    <w:rsid w:val="00A5324E"/>
    <w:rsid w:val="00A53724"/>
    <w:rsid w:val="00A56C07"/>
    <w:rsid w:val="00A60F83"/>
    <w:rsid w:val="00A63A52"/>
    <w:rsid w:val="00A678FF"/>
    <w:rsid w:val="00A70B2F"/>
    <w:rsid w:val="00A7714F"/>
    <w:rsid w:val="00A774B4"/>
    <w:rsid w:val="00A82346"/>
    <w:rsid w:val="00A85121"/>
    <w:rsid w:val="00A859FB"/>
    <w:rsid w:val="00A86A07"/>
    <w:rsid w:val="00A86DA6"/>
    <w:rsid w:val="00A915E7"/>
    <w:rsid w:val="00A93219"/>
    <w:rsid w:val="00A95083"/>
    <w:rsid w:val="00AB1F4C"/>
    <w:rsid w:val="00AB48E9"/>
    <w:rsid w:val="00AC4CF1"/>
    <w:rsid w:val="00AC5795"/>
    <w:rsid w:val="00AC598E"/>
    <w:rsid w:val="00AC75A5"/>
    <w:rsid w:val="00AD360E"/>
    <w:rsid w:val="00AD5902"/>
    <w:rsid w:val="00AD5F46"/>
    <w:rsid w:val="00AE578D"/>
    <w:rsid w:val="00AE5F5B"/>
    <w:rsid w:val="00AE67F3"/>
    <w:rsid w:val="00AE7D93"/>
    <w:rsid w:val="00AF6315"/>
    <w:rsid w:val="00B03772"/>
    <w:rsid w:val="00B040F1"/>
    <w:rsid w:val="00B10CE5"/>
    <w:rsid w:val="00B12C72"/>
    <w:rsid w:val="00B15449"/>
    <w:rsid w:val="00B22D3D"/>
    <w:rsid w:val="00B24084"/>
    <w:rsid w:val="00B257BF"/>
    <w:rsid w:val="00B26A40"/>
    <w:rsid w:val="00B26C0A"/>
    <w:rsid w:val="00B27623"/>
    <w:rsid w:val="00B27F8B"/>
    <w:rsid w:val="00B3262F"/>
    <w:rsid w:val="00B33084"/>
    <w:rsid w:val="00B40A99"/>
    <w:rsid w:val="00B41957"/>
    <w:rsid w:val="00B4379C"/>
    <w:rsid w:val="00B44493"/>
    <w:rsid w:val="00B52D9D"/>
    <w:rsid w:val="00B55881"/>
    <w:rsid w:val="00B57011"/>
    <w:rsid w:val="00B61A46"/>
    <w:rsid w:val="00B620C1"/>
    <w:rsid w:val="00B64D9E"/>
    <w:rsid w:val="00B664B4"/>
    <w:rsid w:val="00B664E2"/>
    <w:rsid w:val="00B66738"/>
    <w:rsid w:val="00B76F15"/>
    <w:rsid w:val="00B828E4"/>
    <w:rsid w:val="00B82D7E"/>
    <w:rsid w:val="00B82FB4"/>
    <w:rsid w:val="00B8484C"/>
    <w:rsid w:val="00B84E65"/>
    <w:rsid w:val="00B912FC"/>
    <w:rsid w:val="00B9320D"/>
    <w:rsid w:val="00B97157"/>
    <w:rsid w:val="00BA1DAF"/>
    <w:rsid w:val="00BA26C6"/>
    <w:rsid w:val="00BB1563"/>
    <w:rsid w:val="00BB1E3D"/>
    <w:rsid w:val="00BB62D8"/>
    <w:rsid w:val="00BB6A30"/>
    <w:rsid w:val="00BB73FC"/>
    <w:rsid w:val="00BC07AD"/>
    <w:rsid w:val="00BC0F7D"/>
    <w:rsid w:val="00BC1681"/>
    <w:rsid w:val="00BC18D7"/>
    <w:rsid w:val="00BC3FA2"/>
    <w:rsid w:val="00BC5BE5"/>
    <w:rsid w:val="00BC6169"/>
    <w:rsid w:val="00BC63AE"/>
    <w:rsid w:val="00BD22E7"/>
    <w:rsid w:val="00BE1E9C"/>
    <w:rsid w:val="00BE29F5"/>
    <w:rsid w:val="00BE35BD"/>
    <w:rsid w:val="00BF1126"/>
    <w:rsid w:val="00BF41BD"/>
    <w:rsid w:val="00BF59B3"/>
    <w:rsid w:val="00C003DE"/>
    <w:rsid w:val="00C00559"/>
    <w:rsid w:val="00C0094C"/>
    <w:rsid w:val="00C01475"/>
    <w:rsid w:val="00C040EF"/>
    <w:rsid w:val="00C048E9"/>
    <w:rsid w:val="00C06EFD"/>
    <w:rsid w:val="00C12690"/>
    <w:rsid w:val="00C15883"/>
    <w:rsid w:val="00C16E01"/>
    <w:rsid w:val="00C20594"/>
    <w:rsid w:val="00C21490"/>
    <w:rsid w:val="00C2186D"/>
    <w:rsid w:val="00C23B00"/>
    <w:rsid w:val="00C2472D"/>
    <w:rsid w:val="00C25BEA"/>
    <w:rsid w:val="00C33079"/>
    <w:rsid w:val="00C358C9"/>
    <w:rsid w:val="00C432EE"/>
    <w:rsid w:val="00C45231"/>
    <w:rsid w:val="00C53147"/>
    <w:rsid w:val="00C5348F"/>
    <w:rsid w:val="00C61BFE"/>
    <w:rsid w:val="00C67EE2"/>
    <w:rsid w:val="00C72833"/>
    <w:rsid w:val="00C74350"/>
    <w:rsid w:val="00C839F5"/>
    <w:rsid w:val="00C8620E"/>
    <w:rsid w:val="00C865DE"/>
    <w:rsid w:val="00C87D28"/>
    <w:rsid w:val="00C908C7"/>
    <w:rsid w:val="00C92CAD"/>
    <w:rsid w:val="00C93F40"/>
    <w:rsid w:val="00C9706C"/>
    <w:rsid w:val="00CA20D4"/>
    <w:rsid w:val="00CA227C"/>
    <w:rsid w:val="00CA3D0C"/>
    <w:rsid w:val="00CA58B7"/>
    <w:rsid w:val="00CB2B86"/>
    <w:rsid w:val="00CB5619"/>
    <w:rsid w:val="00CC2CB2"/>
    <w:rsid w:val="00CC7113"/>
    <w:rsid w:val="00CD39EF"/>
    <w:rsid w:val="00CD748D"/>
    <w:rsid w:val="00CD78AA"/>
    <w:rsid w:val="00CD7BD7"/>
    <w:rsid w:val="00CE0318"/>
    <w:rsid w:val="00CE2D25"/>
    <w:rsid w:val="00CE70A7"/>
    <w:rsid w:val="00CE7A7D"/>
    <w:rsid w:val="00CF0E5D"/>
    <w:rsid w:val="00CF15CE"/>
    <w:rsid w:val="00D0194E"/>
    <w:rsid w:val="00D02784"/>
    <w:rsid w:val="00D02E1F"/>
    <w:rsid w:val="00D02E26"/>
    <w:rsid w:val="00D05240"/>
    <w:rsid w:val="00D05342"/>
    <w:rsid w:val="00D1265A"/>
    <w:rsid w:val="00D13D25"/>
    <w:rsid w:val="00D24BD6"/>
    <w:rsid w:val="00D26624"/>
    <w:rsid w:val="00D306F9"/>
    <w:rsid w:val="00D31B67"/>
    <w:rsid w:val="00D40093"/>
    <w:rsid w:val="00D41078"/>
    <w:rsid w:val="00D47DD2"/>
    <w:rsid w:val="00D50E84"/>
    <w:rsid w:val="00D52766"/>
    <w:rsid w:val="00D556B6"/>
    <w:rsid w:val="00D60177"/>
    <w:rsid w:val="00D60DE0"/>
    <w:rsid w:val="00D61653"/>
    <w:rsid w:val="00D63745"/>
    <w:rsid w:val="00D6427F"/>
    <w:rsid w:val="00D6791F"/>
    <w:rsid w:val="00D71141"/>
    <w:rsid w:val="00D73771"/>
    <w:rsid w:val="00D738D6"/>
    <w:rsid w:val="00D73F76"/>
    <w:rsid w:val="00D755EB"/>
    <w:rsid w:val="00D75F9E"/>
    <w:rsid w:val="00D8040E"/>
    <w:rsid w:val="00D81745"/>
    <w:rsid w:val="00D82796"/>
    <w:rsid w:val="00D837B9"/>
    <w:rsid w:val="00D840E8"/>
    <w:rsid w:val="00D87E00"/>
    <w:rsid w:val="00D90389"/>
    <w:rsid w:val="00D9134D"/>
    <w:rsid w:val="00D91FFC"/>
    <w:rsid w:val="00DA165F"/>
    <w:rsid w:val="00DA702C"/>
    <w:rsid w:val="00DA7632"/>
    <w:rsid w:val="00DA7A03"/>
    <w:rsid w:val="00DB1818"/>
    <w:rsid w:val="00DB1C8C"/>
    <w:rsid w:val="00DB4CD9"/>
    <w:rsid w:val="00DB5E29"/>
    <w:rsid w:val="00DC309B"/>
    <w:rsid w:val="00DC4DA2"/>
    <w:rsid w:val="00DC7849"/>
    <w:rsid w:val="00DD5294"/>
    <w:rsid w:val="00DD7542"/>
    <w:rsid w:val="00DD7D52"/>
    <w:rsid w:val="00DE2CB6"/>
    <w:rsid w:val="00DE2D19"/>
    <w:rsid w:val="00DE346C"/>
    <w:rsid w:val="00DE495B"/>
    <w:rsid w:val="00DE4B51"/>
    <w:rsid w:val="00DF21A1"/>
    <w:rsid w:val="00DF2B1F"/>
    <w:rsid w:val="00DF5351"/>
    <w:rsid w:val="00DF62CD"/>
    <w:rsid w:val="00E02323"/>
    <w:rsid w:val="00E02A3F"/>
    <w:rsid w:val="00E06370"/>
    <w:rsid w:val="00E06B0F"/>
    <w:rsid w:val="00E06E43"/>
    <w:rsid w:val="00E11F91"/>
    <w:rsid w:val="00E17D73"/>
    <w:rsid w:val="00E20092"/>
    <w:rsid w:val="00E20F87"/>
    <w:rsid w:val="00E21BF9"/>
    <w:rsid w:val="00E22905"/>
    <w:rsid w:val="00E27FCF"/>
    <w:rsid w:val="00E37946"/>
    <w:rsid w:val="00E417E5"/>
    <w:rsid w:val="00E41C2B"/>
    <w:rsid w:val="00E46825"/>
    <w:rsid w:val="00E646A7"/>
    <w:rsid w:val="00E67556"/>
    <w:rsid w:val="00E704F4"/>
    <w:rsid w:val="00E714D3"/>
    <w:rsid w:val="00E71E6D"/>
    <w:rsid w:val="00E77645"/>
    <w:rsid w:val="00E80020"/>
    <w:rsid w:val="00E83175"/>
    <w:rsid w:val="00E87975"/>
    <w:rsid w:val="00E90C41"/>
    <w:rsid w:val="00E925F9"/>
    <w:rsid w:val="00E95470"/>
    <w:rsid w:val="00E9604C"/>
    <w:rsid w:val="00EA3BA0"/>
    <w:rsid w:val="00EA4B21"/>
    <w:rsid w:val="00EA5F83"/>
    <w:rsid w:val="00EA70D3"/>
    <w:rsid w:val="00EB51DE"/>
    <w:rsid w:val="00EB5394"/>
    <w:rsid w:val="00EB6411"/>
    <w:rsid w:val="00EB6A41"/>
    <w:rsid w:val="00EB6E6E"/>
    <w:rsid w:val="00EC311F"/>
    <w:rsid w:val="00EC4A25"/>
    <w:rsid w:val="00EC7220"/>
    <w:rsid w:val="00EC7CBA"/>
    <w:rsid w:val="00ED0705"/>
    <w:rsid w:val="00ED0E30"/>
    <w:rsid w:val="00ED1161"/>
    <w:rsid w:val="00ED2226"/>
    <w:rsid w:val="00ED24C4"/>
    <w:rsid w:val="00ED300F"/>
    <w:rsid w:val="00ED344F"/>
    <w:rsid w:val="00ED64F9"/>
    <w:rsid w:val="00ED6B1A"/>
    <w:rsid w:val="00EE270C"/>
    <w:rsid w:val="00EF50FD"/>
    <w:rsid w:val="00F01122"/>
    <w:rsid w:val="00F025A2"/>
    <w:rsid w:val="00F04712"/>
    <w:rsid w:val="00F04CD7"/>
    <w:rsid w:val="00F05788"/>
    <w:rsid w:val="00F05DFE"/>
    <w:rsid w:val="00F116E3"/>
    <w:rsid w:val="00F161B2"/>
    <w:rsid w:val="00F21583"/>
    <w:rsid w:val="00F22EC7"/>
    <w:rsid w:val="00F24221"/>
    <w:rsid w:val="00F321E5"/>
    <w:rsid w:val="00F365E7"/>
    <w:rsid w:val="00F524A2"/>
    <w:rsid w:val="00F52C89"/>
    <w:rsid w:val="00F6090E"/>
    <w:rsid w:val="00F63CA1"/>
    <w:rsid w:val="00F653B8"/>
    <w:rsid w:val="00F65DCF"/>
    <w:rsid w:val="00F65F9E"/>
    <w:rsid w:val="00F70439"/>
    <w:rsid w:val="00F71E2C"/>
    <w:rsid w:val="00F7290A"/>
    <w:rsid w:val="00F7447B"/>
    <w:rsid w:val="00F75E2D"/>
    <w:rsid w:val="00F81BB8"/>
    <w:rsid w:val="00F82515"/>
    <w:rsid w:val="00F8623A"/>
    <w:rsid w:val="00F9001F"/>
    <w:rsid w:val="00F9664F"/>
    <w:rsid w:val="00FA1266"/>
    <w:rsid w:val="00FA4B99"/>
    <w:rsid w:val="00FB2AD0"/>
    <w:rsid w:val="00FB6A7C"/>
    <w:rsid w:val="00FB7B21"/>
    <w:rsid w:val="00FC1192"/>
    <w:rsid w:val="00FC1F5C"/>
    <w:rsid w:val="00FC20E5"/>
    <w:rsid w:val="00FC2FCB"/>
    <w:rsid w:val="00FC4EC7"/>
    <w:rsid w:val="00FC7EAC"/>
    <w:rsid w:val="00FD0033"/>
    <w:rsid w:val="00FD0815"/>
    <w:rsid w:val="00FD0F0F"/>
    <w:rsid w:val="00FD1431"/>
    <w:rsid w:val="00FD2014"/>
    <w:rsid w:val="00FD3D8B"/>
    <w:rsid w:val="00FD4482"/>
    <w:rsid w:val="00FD4B45"/>
    <w:rsid w:val="00FD52DA"/>
    <w:rsid w:val="00FD6434"/>
    <w:rsid w:val="00FD6AC0"/>
    <w:rsid w:val="00FE03A4"/>
    <w:rsid w:val="00FE0B7F"/>
    <w:rsid w:val="00FE0D84"/>
    <w:rsid w:val="00FE2460"/>
    <w:rsid w:val="00FE5B2A"/>
    <w:rsid w:val="00FE6FF0"/>
    <w:rsid w:val="00FF3223"/>
    <w:rsid w:val="00FF3C24"/>
    <w:rsid w:val="00FF7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link w:val="PLChar"/>
    <w:qFormat/>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 w:type="character" w:customStyle="1" w:styleId="PLChar">
    <w:name w:val="PL Char"/>
    <w:link w:val="PL"/>
    <w:qFormat/>
    <w:rsid w:val="00C839F5"/>
    <w:rPr>
      <w:rFonts w:ascii="Courier New" w:hAnsi="Courier New"/>
      <w:noProof/>
      <w:sz w:val="16"/>
      <w:lang w:val="en-GB" w:eastAsia="en-US"/>
    </w:rPr>
  </w:style>
  <w:style w:type="character" w:styleId="PlaceholderText">
    <w:name w:val="Placeholder Text"/>
    <w:basedOn w:val="DefaultParagraphFont"/>
    <w:uiPriority w:val="99"/>
    <w:semiHidden/>
    <w:rsid w:val="009849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596135760">
      <w:bodyDiv w:val="1"/>
      <w:marLeft w:val="0"/>
      <w:marRight w:val="0"/>
      <w:marTop w:val="0"/>
      <w:marBottom w:val="0"/>
      <w:divBdr>
        <w:top w:val="none" w:sz="0" w:space="0" w:color="auto"/>
        <w:left w:val="none" w:sz="0" w:space="0" w:color="auto"/>
        <w:bottom w:val="none" w:sz="0" w:space="0" w:color="auto"/>
        <w:right w:val="none" w:sz="0" w:space="0" w:color="auto"/>
      </w:divBdr>
      <w:divsChild>
        <w:div w:id="1395347818">
          <w:marLeft w:val="1166"/>
          <w:marRight w:val="0"/>
          <w:marTop w:val="82"/>
          <w:marBottom w:val="0"/>
          <w:divBdr>
            <w:top w:val="none" w:sz="0" w:space="0" w:color="auto"/>
            <w:left w:val="none" w:sz="0" w:space="0" w:color="auto"/>
            <w:bottom w:val="none" w:sz="0" w:space="0" w:color="auto"/>
            <w:right w:val="none" w:sz="0" w:space="0" w:color="auto"/>
          </w:divBdr>
        </w:div>
        <w:div w:id="1672027874">
          <w:marLeft w:val="1166"/>
          <w:marRight w:val="0"/>
          <w:marTop w:val="82"/>
          <w:marBottom w:val="0"/>
          <w:divBdr>
            <w:top w:val="none" w:sz="0" w:space="0" w:color="auto"/>
            <w:left w:val="none" w:sz="0" w:space="0" w:color="auto"/>
            <w:bottom w:val="none" w:sz="0" w:space="0" w:color="auto"/>
            <w:right w:val="none" w:sz="0" w:space="0" w:color="auto"/>
          </w:divBdr>
        </w:div>
      </w:divsChild>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E90E6-C760-4E53-938F-D247F156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3</cp:revision>
  <dcterms:created xsi:type="dcterms:W3CDTF">2018-11-02T04:36:00Z</dcterms:created>
  <dcterms:modified xsi:type="dcterms:W3CDTF">2018-11-02T04:36:00Z</dcterms:modified>
</cp:coreProperties>
</file>